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534" w:rsidRPr="002A6534" w:rsidRDefault="002A6534" w:rsidP="002A6534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2A6534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>Проект:</w:t>
      </w:r>
    </w:p>
    <w:p w:rsidR="002A6534" w:rsidRPr="002A6534" w:rsidRDefault="002A6534" w:rsidP="002A6534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</w:pPr>
      <w:r w:rsidRPr="002A6534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  <w:t>**УНІФІКОВАНА ІНСТРУКЦІЯ</w:t>
      </w:r>
    </w:p>
    <w:p w:rsidR="002A6534" w:rsidRPr="002A6534" w:rsidRDefault="002A6534" w:rsidP="002A653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з проведення комплексної (введення, періодичної, позапланової) перевірки стану захисних споруд цивільного захисту, їхнього обладнання та експлуатаційної готовності**</w:t>
      </w:r>
      <w:r w:rsidRPr="002A6534">
        <w:rPr>
          <w:rFonts w:ascii="Segoe UI" w:eastAsia="Times New Roman" w:hAnsi="Segoe UI" w:cs="Segoe UI"/>
          <w:lang w:eastAsia="uk-UA"/>
        </w:rPr>
        <w:br/>
      </w:r>
      <w:r w:rsidRPr="002A6534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(Додаток до постанови КМУ №___ від ___)</w:t>
      </w:r>
    </w:p>
    <w:p w:rsidR="002A6534" w:rsidRPr="002A6534" w:rsidRDefault="002A6534" w:rsidP="002A6534">
      <w:pPr>
        <w:spacing w:before="360" w:after="360" w:line="240" w:lineRule="auto"/>
        <w:rPr>
          <w:rFonts w:eastAsia="Times New Roman"/>
          <w:lang w:eastAsia="uk-UA"/>
        </w:rPr>
      </w:pPr>
      <w:r w:rsidRPr="002A6534">
        <w:rPr>
          <w:rFonts w:eastAsia="Times New Roman"/>
          <w:lang w:eastAsia="uk-UA"/>
        </w:rPr>
        <w:pict>
          <v:rect id="_x0000_i1025" style="width:0;height:3pt" o:hralign="center" o:hrstd="t" o:hr="t" fillcolor="#a0a0a0" stroked="f"/>
        </w:pict>
      </w:r>
    </w:p>
    <w:p w:rsidR="002A6534" w:rsidRPr="002A6534" w:rsidRDefault="002A6534" w:rsidP="002A653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8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2A6534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1. Загальні положення</w:t>
      </w:r>
    </w:p>
    <w:p w:rsidR="002A6534" w:rsidRPr="002A6534" w:rsidRDefault="002A6534" w:rsidP="002A653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 xml:space="preserve">1.1. Ця інструкція є обов’язковою для виконання комісіями, що проводять оцінку стану захисних споруд (сховищ, протирадіаційних </w:t>
      </w:r>
      <w:proofErr w:type="spellStart"/>
      <w:r w:rsidRPr="002A6534">
        <w:rPr>
          <w:rFonts w:ascii="Segoe UI" w:eastAsia="Times New Roman" w:hAnsi="Segoe UI" w:cs="Segoe UI"/>
          <w:lang w:eastAsia="uk-UA"/>
        </w:rPr>
        <w:t>укриттів</w:t>
      </w:r>
      <w:proofErr w:type="spellEnd"/>
      <w:r w:rsidRPr="002A6534">
        <w:rPr>
          <w:rFonts w:ascii="Segoe UI" w:eastAsia="Times New Roman" w:hAnsi="Segoe UI" w:cs="Segoe UI"/>
          <w:lang w:eastAsia="uk-UA"/>
        </w:rPr>
        <w:t xml:space="preserve">, найпростіших </w:t>
      </w:r>
      <w:proofErr w:type="spellStart"/>
      <w:r w:rsidRPr="002A6534">
        <w:rPr>
          <w:rFonts w:ascii="Segoe UI" w:eastAsia="Times New Roman" w:hAnsi="Segoe UI" w:cs="Segoe UI"/>
          <w:lang w:eastAsia="uk-UA"/>
        </w:rPr>
        <w:t>укриттів</w:t>
      </w:r>
      <w:proofErr w:type="spellEnd"/>
      <w:r w:rsidRPr="002A6534">
        <w:rPr>
          <w:rFonts w:ascii="Segoe UI" w:eastAsia="Times New Roman" w:hAnsi="Segoe UI" w:cs="Segoe UI"/>
          <w:lang w:eastAsia="uk-UA"/>
        </w:rPr>
        <w:t>) усіх форм власності, незалежно від року будівництва, призначення та відомчої підпорядкованості.</w:t>
      </w:r>
    </w:p>
    <w:p w:rsidR="002A6534" w:rsidRPr="002A6534" w:rsidRDefault="002A6534" w:rsidP="002A653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1.2. Інструкція застосовується для:</w:t>
      </w:r>
    </w:p>
    <w:p w:rsidR="002A6534" w:rsidRPr="002A6534" w:rsidRDefault="002A6534" w:rsidP="002A653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приймання в експлуатацію новозбудованих споруд;</w:t>
      </w:r>
    </w:p>
    <w:p w:rsidR="002A6534" w:rsidRPr="002A6534" w:rsidRDefault="002A6534" w:rsidP="002A653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періодичних чи позапланових перевірок діючих споруд;</w:t>
      </w:r>
    </w:p>
    <w:p w:rsidR="002A6534" w:rsidRPr="002A6534" w:rsidRDefault="002A6534" w:rsidP="002A653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оцінки виконання робіт з дообладнання (реконструкцій, модернізацій, поточного ремонту).</w:t>
      </w:r>
    </w:p>
    <w:p w:rsidR="002A6534" w:rsidRPr="002A6534" w:rsidRDefault="002A6534" w:rsidP="002A6534">
      <w:pPr>
        <w:spacing w:before="360" w:after="360" w:line="240" w:lineRule="auto"/>
        <w:rPr>
          <w:rFonts w:eastAsia="Times New Roman"/>
          <w:lang w:eastAsia="uk-UA"/>
        </w:rPr>
      </w:pPr>
      <w:r w:rsidRPr="002A6534">
        <w:rPr>
          <w:rFonts w:eastAsia="Times New Roman"/>
          <w:lang w:eastAsia="uk-UA"/>
        </w:rPr>
        <w:pict>
          <v:rect id="_x0000_i1026" style="width:0;height:3pt" o:hralign="center" o:hrstd="t" o:hr="t" fillcolor="#a0a0a0" stroked="f"/>
        </w:pict>
      </w:r>
    </w:p>
    <w:p w:rsidR="002A6534" w:rsidRPr="002A6534" w:rsidRDefault="002A6534" w:rsidP="002A653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2A6534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2. Склад комісії та залучення експертів</w:t>
      </w:r>
    </w:p>
    <w:p w:rsidR="002A6534" w:rsidRPr="002A6534" w:rsidRDefault="002A6534" w:rsidP="002A653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2.1. До складу комісії обов’язково входять:</w:t>
      </w:r>
      <w:r w:rsidRPr="002A6534">
        <w:rPr>
          <w:rFonts w:ascii="Segoe UI" w:eastAsia="Times New Roman" w:hAnsi="Segoe UI" w:cs="Segoe UI"/>
          <w:lang w:eastAsia="uk-UA"/>
        </w:rPr>
        <w:br/>
        <w:t>– представник (голова) органу ДСНС (відповідного рівня);</w:t>
      </w:r>
      <w:r w:rsidRPr="002A6534">
        <w:rPr>
          <w:rFonts w:ascii="Segoe UI" w:eastAsia="Times New Roman" w:hAnsi="Segoe UI" w:cs="Segoe UI"/>
          <w:lang w:eastAsia="uk-UA"/>
        </w:rPr>
        <w:br/>
        <w:t>– представник (комірник/відповідальний) балансоутримувача;</w:t>
      </w:r>
      <w:r w:rsidRPr="002A6534">
        <w:rPr>
          <w:rFonts w:ascii="Segoe UI" w:eastAsia="Times New Roman" w:hAnsi="Segoe UI" w:cs="Segoe UI"/>
          <w:lang w:eastAsia="uk-UA"/>
        </w:rPr>
        <w:br/>
        <w:t>– технічний фахівець-експерт (із сертифікатом у сфері інженерних систем);</w:t>
      </w:r>
      <w:r w:rsidRPr="002A6534">
        <w:rPr>
          <w:rFonts w:ascii="Segoe UI" w:eastAsia="Times New Roman" w:hAnsi="Segoe UI" w:cs="Segoe UI"/>
          <w:lang w:eastAsia="uk-UA"/>
        </w:rPr>
        <w:br/>
        <w:t>– (за необхідності) представник місцевого органу влади чи відділу з питань цивільного захисту.</w:t>
      </w:r>
    </w:p>
    <w:p w:rsidR="002A6534" w:rsidRPr="002A6534" w:rsidRDefault="002A6534" w:rsidP="002A653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2.2. Можливе залучення фахівців з лабораторної діагностики, незалежних експертів, представників громадських організацій, якщо йдеться про великі/спеціалізовані об'єкти.</w:t>
      </w:r>
    </w:p>
    <w:p w:rsidR="002A6534" w:rsidRPr="002A6534" w:rsidRDefault="002A6534" w:rsidP="002A6534">
      <w:pPr>
        <w:spacing w:before="360" w:after="360" w:line="240" w:lineRule="auto"/>
        <w:rPr>
          <w:rFonts w:eastAsia="Times New Roman"/>
          <w:lang w:eastAsia="uk-UA"/>
        </w:rPr>
      </w:pPr>
      <w:r w:rsidRPr="002A6534">
        <w:rPr>
          <w:rFonts w:eastAsia="Times New Roman"/>
          <w:lang w:eastAsia="uk-UA"/>
        </w:rPr>
        <w:lastRenderedPageBreak/>
        <w:pict>
          <v:rect id="_x0000_i1027" style="width:0;height:3pt" o:hralign="center" o:hrstd="t" o:hr="t" fillcolor="#a0a0a0" stroked="f"/>
        </w:pict>
      </w:r>
    </w:p>
    <w:p w:rsidR="002A6534" w:rsidRPr="002A6534" w:rsidRDefault="002A6534" w:rsidP="002A653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2A6534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3. Перелік обов’язкових дій з перевірки</w:t>
      </w:r>
    </w:p>
    <w:p w:rsidR="002A6534" w:rsidRPr="002A6534" w:rsidRDefault="002A6534" w:rsidP="002A653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lang w:eastAsia="uk-UA"/>
        </w:rPr>
      </w:pPr>
      <w:r w:rsidRPr="002A653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3.1. Інвентаризація та аналіз документації</w:t>
      </w:r>
    </w:p>
    <w:p w:rsidR="002A6534" w:rsidRPr="002A6534" w:rsidRDefault="002A6534" w:rsidP="002A6534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Перевіряється наявність та актуальність </w:t>
      </w:r>
      <w:r w:rsidRPr="002A653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паспорта сховища</w:t>
      </w:r>
      <w:r w:rsidRPr="002A6534">
        <w:rPr>
          <w:rFonts w:ascii="Segoe UI" w:eastAsia="Times New Roman" w:hAnsi="Segoe UI" w:cs="Segoe UI"/>
          <w:lang w:eastAsia="uk-UA"/>
        </w:rPr>
        <w:t> та/або актів попередніх перевірок.</w:t>
      </w:r>
    </w:p>
    <w:p w:rsidR="002A6534" w:rsidRPr="002A6534" w:rsidRDefault="002A6534" w:rsidP="002A6534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Вивчаються проектно-технічна документація, розрахунки на місткість, сертифікати та паспорти на встановлене обладнання, графіки та акти поточного обслуговування й ремонту.</w:t>
      </w:r>
    </w:p>
    <w:p w:rsidR="002A6534" w:rsidRPr="002A6534" w:rsidRDefault="002A6534" w:rsidP="002A653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lang w:eastAsia="uk-UA"/>
        </w:rPr>
      </w:pPr>
      <w:r w:rsidRPr="002A653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3.2. Візуальна та технічна інспекція основних конструкцій</w:t>
      </w:r>
    </w:p>
    <w:p w:rsidR="002A6534" w:rsidRPr="002A6534" w:rsidRDefault="002A6534" w:rsidP="002A6534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Огляд стін, стелі, підлоги: на наявність ушкоджень, протікань, плісняви, несанкціонованих прорізів чи порушень герметичності.</w:t>
      </w:r>
    </w:p>
    <w:p w:rsidR="002A6534" w:rsidRPr="002A6534" w:rsidRDefault="002A6534" w:rsidP="002A6534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Огляд основних та аварійних виходів, евакуаційних шляхів.</w:t>
      </w:r>
    </w:p>
    <w:p w:rsidR="002A6534" w:rsidRPr="002A6534" w:rsidRDefault="002A6534" w:rsidP="002A6534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 xml:space="preserve">Візуальна оцінка справності й чистоти всіх вентиляційних каналів, фільтрів, </w:t>
      </w:r>
      <w:proofErr w:type="spellStart"/>
      <w:r w:rsidRPr="002A6534">
        <w:rPr>
          <w:rFonts w:ascii="Segoe UI" w:eastAsia="Times New Roman" w:hAnsi="Segoe UI" w:cs="Segoe UI"/>
          <w:lang w:eastAsia="uk-UA"/>
        </w:rPr>
        <w:t>герметизуючих</w:t>
      </w:r>
      <w:proofErr w:type="spellEnd"/>
      <w:r w:rsidRPr="002A6534">
        <w:rPr>
          <w:rFonts w:ascii="Segoe UI" w:eastAsia="Times New Roman" w:hAnsi="Segoe UI" w:cs="Segoe UI"/>
          <w:lang w:eastAsia="uk-UA"/>
        </w:rPr>
        <w:t xml:space="preserve"> та протипожежних дверей, шлюзів.</w:t>
      </w:r>
    </w:p>
    <w:p w:rsidR="002A6534" w:rsidRPr="002A6534" w:rsidRDefault="002A6534" w:rsidP="002A653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lang w:eastAsia="uk-UA"/>
        </w:rPr>
      </w:pPr>
      <w:r w:rsidRPr="002A653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3.3. Оцінка інженерного забезпечення</w:t>
      </w:r>
    </w:p>
    <w:p w:rsidR="002A6534" w:rsidRPr="002A6534" w:rsidRDefault="002A6534" w:rsidP="002A6534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Перевірка:</w:t>
      </w:r>
    </w:p>
    <w:p w:rsidR="002A6534" w:rsidRPr="002A6534" w:rsidRDefault="002A6534" w:rsidP="002A6534">
      <w:pPr>
        <w:numPr>
          <w:ilvl w:val="1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електроживлення (основне й резервне);</w:t>
      </w:r>
    </w:p>
    <w:p w:rsidR="002A6534" w:rsidRPr="002A6534" w:rsidRDefault="002A6534" w:rsidP="002A6534">
      <w:pPr>
        <w:numPr>
          <w:ilvl w:val="1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систем вентиляції (основної/аварійної/ручної);</w:t>
      </w:r>
    </w:p>
    <w:p w:rsidR="002A6534" w:rsidRPr="002A6534" w:rsidRDefault="002A6534" w:rsidP="002A6534">
      <w:pPr>
        <w:numPr>
          <w:ilvl w:val="1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proofErr w:type="spellStart"/>
      <w:r w:rsidRPr="002A6534">
        <w:rPr>
          <w:rFonts w:ascii="Segoe UI" w:eastAsia="Times New Roman" w:hAnsi="Segoe UI" w:cs="Segoe UI"/>
          <w:lang w:eastAsia="uk-UA"/>
        </w:rPr>
        <w:t>фільтрувально</w:t>
      </w:r>
      <w:proofErr w:type="spellEnd"/>
      <w:r w:rsidRPr="002A6534">
        <w:rPr>
          <w:rFonts w:ascii="Segoe UI" w:eastAsia="Times New Roman" w:hAnsi="Segoe UI" w:cs="Segoe UI"/>
          <w:lang w:eastAsia="uk-UA"/>
        </w:rPr>
        <w:t>-вентиляційної установки;</w:t>
      </w:r>
    </w:p>
    <w:p w:rsidR="002A6534" w:rsidRPr="002A6534" w:rsidRDefault="002A6534" w:rsidP="002A6534">
      <w:pPr>
        <w:numPr>
          <w:ilvl w:val="1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сигналізації, внутрішнього зв’язку;</w:t>
      </w:r>
    </w:p>
    <w:p w:rsidR="002A6534" w:rsidRPr="002A6534" w:rsidRDefault="002A6534" w:rsidP="002A6534">
      <w:pPr>
        <w:numPr>
          <w:ilvl w:val="1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санітарно-технічних приміщень (туалети, дренаж, водопостачання);</w:t>
      </w:r>
    </w:p>
    <w:p w:rsidR="002A6534" w:rsidRPr="002A6534" w:rsidRDefault="002A6534" w:rsidP="002A6534">
      <w:pPr>
        <w:numPr>
          <w:ilvl w:val="1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запасу води, медикаментів, комплектів першої допомоги.</w:t>
      </w:r>
    </w:p>
    <w:p w:rsidR="002A6534" w:rsidRPr="002A6534" w:rsidRDefault="002A6534" w:rsidP="002A653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lang w:eastAsia="uk-UA"/>
        </w:rPr>
      </w:pPr>
      <w:r w:rsidRPr="002A653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3.4. Функціональне тестування</w:t>
      </w:r>
    </w:p>
    <w:p w:rsidR="002A6534" w:rsidRPr="002A6534" w:rsidRDefault="002A6534" w:rsidP="002A6534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(А) Симуляція штатного навантаження</w:t>
      </w:r>
      <w:r w:rsidRPr="002A6534">
        <w:rPr>
          <w:rFonts w:ascii="Segoe UI" w:eastAsia="Times New Roman" w:hAnsi="Segoe UI" w:cs="Segoe UI"/>
          <w:lang w:eastAsia="uk-UA"/>
        </w:rPr>
        <w:br/>
        <w:t>Залучити для випробування мінімум 30% проектної місткості осіб (не менше 20, для крупних – не менше 50), або розставити “теплові еквіваленти” для імітації тепловиділення людей.</w:t>
      </w:r>
    </w:p>
    <w:p w:rsidR="002A6534" w:rsidRPr="002A6534" w:rsidRDefault="002A6534" w:rsidP="002A6534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(Б) Запуск усіх систем у робочому і резервному режимах</w:t>
      </w:r>
      <w:r w:rsidRPr="002A6534">
        <w:rPr>
          <w:rFonts w:ascii="Segoe UI" w:eastAsia="Times New Roman" w:hAnsi="Segoe UI" w:cs="Segoe UI"/>
          <w:lang w:eastAsia="uk-UA"/>
        </w:rPr>
        <w:br/>
        <w:t>Вентиляція, фільтрація, аварійне живлення (дизель-генератор або ручний привід), внутрішнє освітлення.</w:t>
      </w:r>
    </w:p>
    <w:p w:rsidR="002A6534" w:rsidRPr="002A6534" w:rsidRDefault="002A6534" w:rsidP="002A6534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lastRenderedPageBreak/>
        <w:t>(В) Вимірювання основних показників за допомогою приладів:</w:t>
      </w:r>
    </w:p>
    <w:p w:rsidR="002A6534" w:rsidRPr="002A6534" w:rsidRDefault="002A6534" w:rsidP="002A6534">
      <w:pPr>
        <w:numPr>
          <w:ilvl w:val="1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Газоаналізатор</w:t>
      </w:r>
      <w:r w:rsidRPr="002A6534">
        <w:rPr>
          <w:rFonts w:ascii="Segoe UI" w:eastAsia="Times New Roman" w:hAnsi="Segoe UI" w:cs="Segoe UI"/>
          <w:lang w:eastAsia="uk-UA"/>
        </w:rPr>
        <w:t>: вміст кисню (</w:t>
      </w:r>
      <w:r w:rsidRPr="002A6534">
        <w:rPr>
          <w:rFonts w:eastAsia="Times New Roman"/>
          <w:sz w:val="29"/>
          <w:szCs w:val="29"/>
          <w:bdr w:val="none" w:sz="0" w:space="0" w:color="auto" w:frame="1"/>
          <w:lang w:eastAsia="uk-UA"/>
        </w:rPr>
        <w:t>O2</w:t>
      </w:r>
      <w:r w:rsidRPr="002A6534">
        <w:rPr>
          <w:rFonts w:ascii="KaTeX_Math" w:eastAsia="Times New Roman" w:hAnsi="KaTeX_Math"/>
          <w:i/>
          <w:iCs/>
          <w:sz w:val="29"/>
          <w:szCs w:val="29"/>
          <w:bdr w:val="single" w:sz="2" w:space="0" w:color="E5E7EB" w:frame="1"/>
          <w:lang w:eastAsia="uk-UA"/>
        </w:rPr>
        <w:t>O</w:t>
      </w:r>
      <w:r w:rsidRPr="002A6534">
        <w:rPr>
          <w:rFonts w:eastAsia="Times New Roman"/>
          <w:sz w:val="20"/>
          <w:szCs w:val="20"/>
          <w:bdr w:val="single" w:sz="2" w:space="0" w:color="E5E7EB" w:frame="1"/>
          <w:lang w:eastAsia="uk-UA"/>
        </w:rPr>
        <w:t>2</w:t>
      </w:r>
      <w:r w:rsidRPr="002A6534">
        <w:rPr>
          <w:rFonts w:eastAsia="Times New Roman"/>
          <w:sz w:val="2"/>
          <w:szCs w:val="2"/>
          <w:bdr w:val="single" w:sz="2" w:space="0" w:color="E5E7EB" w:frame="1"/>
          <w:lang w:eastAsia="uk-UA"/>
        </w:rPr>
        <w:t>​</w:t>
      </w:r>
      <w:r w:rsidRPr="002A6534">
        <w:rPr>
          <w:rFonts w:ascii="Segoe UI" w:eastAsia="Times New Roman" w:hAnsi="Segoe UI" w:cs="Segoe UI"/>
          <w:lang w:eastAsia="uk-UA"/>
        </w:rPr>
        <w:t>) та </w:t>
      </w:r>
      <w:r w:rsidRPr="002A6534">
        <w:rPr>
          <w:rFonts w:eastAsia="Times New Roman"/>
          <w:sz w:val="29"/>
          <w:szCs w:val="29"/>
          <w:bdr w:val="none" w:sz="0" w:space="0" w:color="auto" w:frame="1"/>
          <w:lang w:eastAsia="uk-UA"/>
        </w:rPr>
        <w:t>CO2</w:t>
      </w:r>
      <w:r w:rsidRPr="002A6534">
        <w:rPr>
          <w:rFonts w:ascii="KaTeX_Math" w:eastAsia="Times New Roman" w:hAnsi="KaTeX_Math"/>
          <w:i/>
          <w:iCs/>
          <w:sz w:val="29"/>
          <w:szCs w:val="29"/>
          <w:bdr w:val="single" w:sz="2" w:space="0" w:color="E5E7EB" w:frame="1"/>
          <w:lang w:eastAsia="uk-UA"/>
        </w:rPr>
        <w:t>CO</w:t>
      </w:r>
      <w:r w:rsidRPr="002A6534">
        <w:rPr>
          <w:rFonts w:eastAsia="Times New Roman"/>
          <w:sz w:val="20"/>
          <w:szCs w:val="20"/>
          <w:bdr w:val="single" w:sz="2" w:space="0" w:color="E5E7EB" w:frame="1"/>
          <w:lang w:eastAsia="uk-UA"/>
        </w:rPr>
        <w:t>2</w:t>
      </w:r>
      <w:r w:rsidRPr="002A6534">
        <w:rPr>
          <w:rFonts w:eastAsia="Times New Roman"/>
          <w:sz w:val="2"/>
          <w:szCs w:val="2"/>
          <w:bdr w:val="single" w:sz="2" w:space="0" w:color="E5E7EB" w:frame="1"/>
          <w:lang w:eastAsia="uk-UA"/>
        </w:rPr>
        <w:t>​</w:t>
      </w:r>
      <w:r w:rsidRPr="002A6534">
        <w:rPr>
          <w:rFonts w:ascii="Segoe UI" w:eastAsia="Times New Roman" w:hAnsi="Segoe UI" w:cs="Segoe UI"/>
          <w:lang w:eastAsia="uk-UA"/>
        </w:rPr>
        <w:t>;</w:t>
      </w:r>
    </w:p>
    <w:p w:rsidR="002A6534" w:rsidRPr="002A6534" w:rsidRDefault="002A6534" w:rsidP="002A6534">
      <w:pPr>
        <w:numPr>
          <w:ilvl w:val="1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proofErr w:type="spellStart"/>
      <w:r w:rsidRPr="002A6534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Термогігрометр</w:t>
      </w:r>
      <w:proofErr w:type="spellEnd"/>
      <w:r w:rsidRPr="002A6534">
        <w:rPr>
          <w:rFonts w:ascii="Segoe UI" w:eastAsia="Times New Roman" w:hAnsi="Segoe UI" w:cs="Segoe UI"/>
          <w:lang w:eastAsia="uk-UA"/>
        </w:rPr>
        <w:t>: температура + вологість;</w:t>
      </w:r>
    </w:p>
    <w:p w:rsidR="002A6534" w:rsidRPr="002A6534" w:rsidRDefault="002A6534" w:rsidP="002A6534">
      <w:pPr>
        <w:numPr>
          <w:ilvl w:val="1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Пиломір/аерозольний детектор</w:t>
      </w:r>
      <w:r w:rsidRPr="002A6534">
        <w:rPr>
          <w:rFonts w:ascii="Segoe UI" w:eastAsia="Times New Roman" w:hAnsi="Segoe UI" w:cs="Segoe UI"/>
          <w:lang w:eastAsia="uk-UA"/>
        </w:rPr>
        <w:t>: показники запиленості;</w:t>
      </w:r>
    </w:p>
    <w:p w:rsidR="002A6534" w:rsidRPr="002A6534" w:rsidRDefault="002A6534" w:rsidP="002A6534">
      <w:pPr>
        <w:numPr>
          <w:ilvl w:val="1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Дозиметр</w:t>
      </w:r>
      <w:r w:rsidRPr="002A6534">
        <w:rPr>
          <w:rFonts w:ascii="Segoe UI" w:eastAsia="Times New Roman" w:hAnsi="Segoe UI" w:cs="Segoe UI"/>
          <w:lang w:eastAsia="uk-UA"/>
        </w:rPr>
        <w:t xml:space="preserve"> (для спеціалізованих </w:t>
      </w:r>
      <w:proofErr w:type="spellStart"/>
      <w:r w:rsidRPr="002A6534">
        <w:rPr>
          <w:rFonts w:ascii="Segoe UI" w:eastAsia="Times New Roman" w:hAnsi="Segoe UI" w:cs="Segoe UI"/>
          <w:lang w:eastAsia="uk-UA"/>
        </w:rPr>
        <w:t>обʼєктів</w:t>
      </w:r>
      <w:proofErr w:type="spellEnd"/>
      <w:r w:rsidRPr="002A6534">
        <w:rPr>
          <w:rFonts w:ascii="Segoe UI" w:eastAsia="Times New Roman" w:hAnsi="Segoe UI" w:cs="Segoe UI"/>
          <w:lang w:eastAsia="uk-UA"/>
        </w:rPr>
        <w:t>);</w:t>
      </w:r>
    </w:p>
    <w:p w:rsidR="002A6534" w:rsidRPr="002A6534" w:rsidRDefault="002A6534" w:rsidP="002A6534">
      <w:pPr>
        <w:numPr>
          <w:ilvl w:val="1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Вимірювач шуму</w:t>
      </w:r>
      <w:r w:rsidRPr="002A6534">
        <w:rPr>
          <w:rFonts w:ascii="Segoe UI" w:eastAsia="Times New Roman" w:hAnsi="Segoe UI" w:cs="Segoe UI"/>
          <w:lang w:eastAsia="uk-UA"/>
        </w:rPr>
        <w:t> (</w:t>
      </w:r>
      <w:proofErr w:type="spellStart"/>
      <w:r w:rsidRPr="002A6534">
        <w:rPr>
          <w:rFonts w:ascii="Segoe UI" w:eastAsia="Times New Roman" w:hAnsi="Segoe UI" w:cs="Segoe UI"/>
          <w:lang w:eastAsia="uk-UA"/>
        </w:rPr>
        <w:t>опціонально</w:t>
      </w:r>
      <w:proofErr w:type="spellEnd"/>
      <w:r w:rsidRPr="002A6534">
        <w:rPr>
          <w:rFonts w:ascii="Segoe UI" w:eastAsia="Times New Roman" w:hAnsi="Segoe UI" w:cs="Segoe UI"/>
          <w:lang w:eastAsia="uk-UA"/>
        </w:rPr>
        <w:t>);</w:t>
      </w:r>
    </w:p>
    <w:p w:rsidR="002A6534" w:rsidRPr="002A6534" w:rsidRDefault="002A6534" w:rsidP="002A6534">
      <w:pPr>
        <w:numPr>
          <w:ilvl w:val="1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Лампочка контрольна</w:t>
      </w:r>
      <w:r w:rsidRPr="002A6534">
        <w:rPr>
          <w:rFonts w:ascii="Segoe UI" w:eastAsia="Times New Roman" w:hAnsi="Segoe UI" w:cs="Segoe UI"/>
          <w:lang w:eastAsia="uk-UA"/>
        </w:rPr>
        <w:t> – для перевірки електромережі.</w:t>
      </w:r>
      <w:r w:rsidRPr="002A6534">
        <w:rPr>
          <w:rFonts w:ascii="Segoe UI" w:eastAsia="Times New Roman" w:hAnsi="Segoe UI" w:cs="Segoe UI"/>
          <w:lang w:eastAsia="uk-UA"/>
        </w:rPr>
        <w:br/>
        <w:t>Всі заміри – </w:t>
      </w:r>
      <w:r w:rsidRPr="002A653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у трьох контрольних точках</w:t>
      </w:r>
      <w:r w:rsidRPr="002A6534">
        <w:rPr>
          <w:rFonts w:ascii="Segoe UI" w:eastAsia="Times New Roman" w:hAnsi="Segoe UI" w:cs="Segoe UI"/>
          <w:lang w:eastAsia="uk-UA"/>
        </w:rPr>
        <w:t> (по різних кінцях, біля вентиляційних входів/виходів, у центрі залу).</w:t>
      </w:r>
    </w:p>
    <w:p w:rsidR="002A6534" w:rsidRPr="002A6534" w:rsidRDefault="002A6534" w:rsidP="002A6534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(Г) Фіксація результатів:</w:t>
      </w:r>
      <w:r w:rsidRPr="002A6534">
        <w:rPr>
          <w:rFonts w:ascii="Segoe UI" w:eastAsia="Times New Roman" w:hAnsi="Segoe UI" w:cs="Segoe UI"/>
          <w:lang w:eastAsia="uk-UA"/>
        </w:rPr>
        <w:br/>
        <w:t>• Робити заміри щонайменше двічі: через 10 хв і через 60 хв після запуску систем.</w:t>
      </w:r>
      <w:r w:rsidRPr="002A6534">
        <w:rPr>
          <w:rFonts w:ascii="Segoe UI" w:eastAsia="Times New Roman" w:hAnsi="Segoe UI" w:cs="Segoe UI"/>
          <w:lang w:eastAsia="uk-UA"/>
        </w:rPr>
        <w:br/>
        <w:t>• Фіксувати: дата, час, склад комісії, режим роботи обладнання, проектна й фактична кількість присутніх, структура приміщення.</w:t>
      </w:r>
    </w:p>
    <w:p w:rsidR="002A6534" w:rsidRPr="002A6534" w:rsidRDefault="002A6534" w:rsidP="002A6534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(Д) Аварійна перевірка:</w:t>
      </w:r>
      <w:r w:rsidRPr="002A6534">
        <w:rPr>
          <w:rFonts w:ascii="Segoe UI" w:eastAsia="Times New Roman" w:hAnsi="Segoe UI" w:cs="Segoe UI"/>
          <w:lang w:eastAsia="uk-UA"/>
        </w:rPr>
        <w:br/>
        <w:t>Протестувати ручну вентиляцію, резервні джерела живлення, системи аварійного освітлення, справність герметичних дверей; перевірити запас фільтрувальних елементів, інвентаризацію обладнання.</w:t>
      </w:r>
    </w:p>
    <w:p w:rsidR="002A6534" w:rsidRPr="002A6534" w:rsidRDefault="002A6534" w:rsidP="002A6534">
      <w:pPr>
        <w:spacing w:before="360" w:after="360" w:line="240" w:lineRule="auto"/>
        <w:rPr>
          <w:rFonts w:eastAsia="Times New Roman"/>
          <w:lang w:eastAsia="uk-UA"/>
        </w:rPr>
      </w:pPr>
      <w:r w:rsidRPr="002A6534">
        <w:rPr>
          <w:rFonts w:eastAsia="Times New Roman"/>
          <w:lang w:eastAsia="uk-UA"/>
        </w:rPr>
        <w:pict>
          <v:rect id="_x0000_i1028" style="width:0;height:3pt" o:hralign="center" o:hrstd="t" o:hr="t" fillcolor="#a0a0a0" stroked="f"/>
        </w:pict>
      </w:r>
    </w:p>
    <w:p w:rsidR="002A6534" w:rsidRPr="002A6534" w:rsidRDefault="002A6534" w:rsidP="002A653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2A6534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4. Оцінка гігієнічних та побутових умов</w:t>
      </w:r>
    </w:p>
    <w:p w:rsidR="002A6534" w:rsidRPr="002A6534" w:rsidRDefault="002A6534" w:rsidP="002A6534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 xml:space="preserve">Перевіряється наявність діючих санітарних вузлів або мобільних туалетів (за </w:t>
      </w:r>
      <w:proofErr w:type="spellStart"/>
      <w:r w:rsidRPr="002A6534">
        <w:rPr>
          <w:rFonts w:ascii="Segoe UI" w:eastAsia="Times New Roman" w:hAnsi="Segoe UI" w:cs="Segoe UI"/>
          <w:lang w:eastAsia="uk-UA"/>
        </w:rPr>
        <w:t>проєктом</w:t>
      </w:r>
      <w:proofErr w:type="spellEnd"/>
      <w:r w:rsidRPr="002A6534">
        <w:rPr>
          <w:rFonts w:ascii="Segoe UI" w:eastAsia="Times New Roman" w:hAnsi="Segoe UI" w:cs="Segoe UI"/>
          <w:lang w:eastAsia="uk-UA"/>
        </w:rPr>
        <w:t>), робочого водопостачання/</w:t>
      </w:r>
      <w:proofErr w:type="spellStart"/>
      <w:r w:rsidRPr="002A6534">
        <w:rPr>
          <w:rFonts w:ascii="Segoe UI" w:eastAsia="Times New Roman" w:hAnsi="Segoe UI" w:cs="Segoe UI"/>
          <w:lang w:eastAsia="uk-UA"/>
        </w:rPr>
        <w:t>водозапасу</w:t>
      </w:r>
      <w:proofErr w:type="spellEnd"/>
      <w:r w:rsidRPr="002A6534">
        <w:rPr>
          <w:rFonts w:ascii="Segoe UI" w:eastAsia="Times New Roman" w:hAnsi="Segoe UI" w:cs="Segoe UI"/>
          <w:lang w:eastAsia="uk-UA"/>
        </w:rPr>
        <w:t>, контейнерів для сміття.</w:t>
      </w:r>
    </w:p>
    <w:p w:rsidR="002A6534" w:rsidRPr="002A6534" w:rsidRDefault="002A6534" w:rsidP="002A6534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Оцінюється вентиляція санітарної зони.</w:t>
      </w:r>
    </w:p>
    <w:p w:rsidR="002A6534" w:rsidRPr="002A6534" w:rsidRDefault="002A6534" w:rsidP="002A6534">
      <w:pPr>
        <w:spacing w:before="360" w:after="360" w:line="240" w:lineRule="auto"/>
        <w:rPr>
          <w:rFonts w:eastAsia="Times New Roman"/>
          <w:lang w:eastAsia="uk-UA"/>
        </w:rPr>
      </w:pPr>
      <w:r w:rsidRPr="002A6534">
        <w:rPr>
          <w:rFonts w:eastAsia="Times New Roman"/>
          <w:lang w:eastAsia="uk-UA"/>
        </w:rPr>
        <w:pict>
          <v:rect id="_x0000_i1029" style="width:0;height:3pt" o:hralign="center" o:hrstd="t" o:hr="t" fillcolor="#a0a0a0" stroked="f"/>
        </w:pict>
      </w:r>
    </w:p>
    <w:p w:rsidR="002A6534" w:rsidRPr="002A6534" w:rsidRDefault="002A6534" w:rsidP="002A653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2A6534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5. Підсумкова оцінка і формування акту</w:t>
      </w:r>
    </w:p>
    <w:p w:rsidR="002A6534" w:rsidRPr="002A6534" w:rsidRDefault="002A6534" w:rsidP="002A6534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За результатами тестування та огляду комісія:</w:t>
      </w:r>
    </w:p>
    <w:p w:rsidR="002A6534" w:rsidRPr="002A6534" w:rsidRDefault="002A6534" w:rsidP="002A6534">
      <w:pPr>
        <w:numPr>
          <w:ilvl w:val="1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складає </w:t>
      </w:r>
      <w:r w:rsidRPr="002A6534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Акт перевірки стану та експлуатаційної готовності захисної споруди</w:t>
      </w:r>
      <w:r w:rsidRPr="002A6534">
        <w:rPr>
          <w:rFonts w:ascii="Segoe UI" w:eastAsia="Times New Roman" w:hAnsi="Segoe UI" w:cs="Segoe UI"/>
          <w:lang w:eastAsia="uk-UA"/>
        </w:rPr>
        <w:t> (уніфікований зразок додається до інструкції);</w:t>
      </w:r>
    </w:p>
    <w:p w:rsidR="002A6534" w:rsidRPr="002A6534" w:rsidRDefault="002A6534" w:rsidP="002A6534">
      <w:pPr>
        <w:numPr>
          <w:ilvl w:val="1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 xml:space="preserve">зазначає: проектну, фактичну місткість, результати замірів ключових параметрів, список усіх виявлених недоліків із рівнем критичності (“не </w:t>
      </w:r>
      <w:r w:rsidRPr="002A6534">
        <w:rPr>
          <w:rFonts w:ascii="Segoe UI" w:eastAsia="Times New Roman" w:hAnsi="Segoe UI" w:cs="Segoe UI"/>
          <w:lang w:eastAsia="uk-UA"/>
        </w:rPr>
        <w:lastRenderedPageBreak/>
        <w:t>придатне до експлуатації”, “придатне з обмеженнями”, “придатне повністю”, “потребує термінового втручання”).</w:t>
      </w:r>
    </w:p>
    <w:p w:rsidR="002A6534" w:rsidRPr="002A6534" w:rsidRDefault="002A6534" w:rsidP="002A6534">
      <w:pPr>
        <w:numPr>
          <w:ilvl w:val="1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Вказує: хто відповідальний за усунення недоліків, строки виконання.</w:t>
      </w:r>
    </w:p>
    <w:p w:rsidR="002A6534" w:rsidRPr="002A6534" w:rsidRDefault="002A6534" w:rsidP="002A6534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Один примірник передається балансоутримувачу, інший — у відповідний орган ДСНС, копії — органу місцевої влади, відповідальному за систему цивільного захисту.</w:t>
      </w:r>
    </w:p>
    <w:p w:rsidR="002A6534" w:rsidRPr="002A6534" w:rsidRDefault="002A6534" w:rsidP="002A6534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У разі невідповідності по будь-якому з критичних параметрів сховище визнається непридатним до розміщення людей до усунення недоліків (з обов’язковим повторним оглядом).</w:t>
      </w:r>
    </w:p>
    <w:p w:rsidR="002A6534" w:rsidRPr="002A6534" w:rsidRDefault="002A6534" w:rsidP="002A6534">
      <w:pPr>
        <w:spacing w:before="360" w:after="360" w:line="240" w:lineRule="auto"/>
        <w:rPr>
          <w:rFonts w:eastAsia="Times New Roman"/>
          <w:lang w:eastAsia="uk-UA"/>
        </w:rPr>
      </w:pPr>
      <w:r w:rsidRPr="002A6534">
        <w:rPr>
          <w:rFonts w:eastAsia="Times New Roman"/>
          <w:lang w:eastAsia="uk-UA"/>
        </w:rPr>
        <w:pict>
          <v:rect id="_x0000_i1030" style="width:0;height:3pt" o:hralign="center" o:hrstd="t" o:hr="t" fillcolor="#a0a0a0" stroked="f"/>
        </w:pict>
      </w:r>
    </w:p>
    <w:p w:rsidR="002A6534" w:rsidRPr="002A6534" w:rsidRDefault="002A6534" w:rsidP="002A653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2A6534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6. Контроль та періодичність</w:t>
      </w:r>
    </w:p>
    <w:p w:rsidR="002A6534" w:rsidRPr="002A6534" w:rsidRDefault="002A6534" w:rsidP="002A6534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Перевірки новозбудованих об’єктів — до моменту введення в експлуатацію.</w:t>
      </w:r>
    </w:p>
    <w:p w:rsidR="002A6534" w:rsidRPr="002A6534" w:rsidRDefault="002A6534" w:rsidP="002A6534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Уже діючі — не рідше одного разу на два роки, або позапланово за наявності причин (ремонт, надзвичайна подія, скарги).</w:t>
      </w:r>
    </w:p>
    <w:p w:rsidR="002A6534" w:rsidRPr="002A6534" w:rsidRDefault="002A6534" w:rsidP="002A6534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Після дообладнання, реконструкцій — у тижневий строк після закінчення робіт.</w:t>
      </w:r>
    </w:p>
    <w:p w:rsidR="002A6534" w:rsidRPr="002A6534" w:rsidRDefault="002A6534" w:rsidP="002A6534">
      <w:pPr>
        <w:spacing w:before="360" w:after="360" w:line="240" w:lineRule="auto"/>
        <w:rPr>
          <w:rFonts w:eastAsia="Times New Roman"/>
          <w:lang w:eastAsia="uk-UA"/>
        </w:rPr>
      </w:pPr>
      <w:r w:rsidRPr="002A6534">
        <w:rPr>
          <w:rFonts w:eastAsia="Times New Roman"/>
          <w:lang w:eastAsia="uk-UA"/>
        </w:rPr>
        <w:pict>
          <v:rect id="_x0000_i1031" style="width:0;height:3pt" o:hralign="center" o:hrstd="t" o:hr="t" fillcolor="#a0a0a0" stroked="f"/>
        </w:pict>
      </w:r>
    </w:p>
    <w:p w:rsidR="002A6534" w:rsidRPr="002A6534" w:rsidRDefault="002A6534" w:rsidP="002A653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2A6534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7. Вимога щодо недопущення формалізму та незалежності оцінки</w:t>
      </w:r>
    </w:p>
    <w:p w:rsidR="002A6534" w:rsidRPr="002A6534" w:rsidRDefault="002A6534" w:rsidP="002A6534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Будь-яке приховування або “генерація” даних без реальних замірів — підстава для адміністративної відповідальності членів комісії, результати перевірки визнаються недійсними.</w:t>
      </w:r>
    </w:p>
    <w:p w:rsidR="002A6534" w:rsidRPr="002A6534" w:rsidRDefault="002A6534" w:rsidP="002A6534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За бажанням балансоутримувача — можливість присутності незалежного експерта або представника громадськості (для цивільних об’єктів).</w:t>
      </w:r>
    </w:p>
    <w:p w:rsidR="002A6534" w:rsidRPr="002A6534" w:rsidRDefault="002A6534" w:rsidP="002A6534">
      <w:pPr>
        <w:spacing w:before="360" w:after="360" w:line="240" w:lineRule="auto"/>
        <w:rPr>
          <w:rFonts w:eastAsia="Times New Roman"/>
          <w:lang w:eastAsia="uk-UA"/>
        </w:rPr>
      </w:pPr>
      <w:r w:rsidRPr="002A6534">
        <w:rPr>
          <w:rFonts w:eastAsia="Times New Roman"/>
          <w:lang w:eastAsia="uk-UA"/>
        </w:rPr>
        <w:pict>
          <v:rect id="_x0000_i1032" style="width:0;height:3pt" o:hralign="center" o:hrstd="t" o:hr="t" fillcolor="#a0a0a0" stroked="f"/>
        </w:pict>
      </w:r>
    </w:p>
    <w:p w:rsidR="002A6534" w:rsidRPr="002A6534" w:rsidRDefault="002A6534" w:rsidP="002A653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2A6534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8. Короткий чек-лист (на титульному аркуші акту перевірки)</w:t>
      </w:r>
    </w:p>
    <w:p w:rsidR="002A6534" w:rsidRPr="002A6534" w:rsidRDefault="002A6534" w:rsidP="002A6534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Паспорт об’єкта, технічна документація</w:t>
      </w:r>
    </w:p>
    <w:p w:rsidR="002A6534" w:rsidRPr="002A6534" w:rsidRDefault="002A6534" w:rsidP="002A6534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Справність основних і аварійних виходів</w:t>
      </w:r>
    </w:p>
    <w:p w:rsidR="002A6534" w:rsidRPr="002A6534" w:rsidRDefault="002A6534" w:rsidP="002A6534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Стан вентиляції (візуальна + робота)</w:t>
      </w:r>
    </w:p>
    <w:p w:rsidR="002A6534" w:rsidRPr="002A6534" w:rsidRDefault="002A6534" w:rsidP="002A6534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Стан фільтраційного обладнання</w:t>
      </w:r>
    </w:p>
    <w:p w:rsidR="002A6534" w:rsidRPr="002A6534" w:rsidRDefault="002A6534" w:rsidP="002A6534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lastRenderedPageBreak/>
        <w:t>Основне й резервне живлення</w:t>
      </w:r>
    </w:p>
    <w:p w:rsidR="002A6534" w:rsidRPr="002A6534" w:rsidRDefault="002A6534" w:rsidP="002A6534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Фіксація умов у побутових приміщеннях (санітарія, вода, сміття)</w:t>
      </w:r>
    </w:p>
    <w:p w:rsidR="002A6534" w:rsidRPr="002A6534" w:rsidRDefault="002A6534" w:rsidP="002A6534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Замір O</w:t>
      </w:r>
      <w:r w:rsidRPr="002A6534">
        <w:rPr>
          <w:rFonts w:eastAsia="Times New Roman"/>
          <w:sz w:val="29"/>
          <w:szCs w:val="29"/>
          <w:bdr w:val="none" w:sz="0" w:space="0" w:color="auto" w:frame="1"/>
          <w:lang w:eastAsia="uk-UA"/>
        </w:rPr>
        <w:t>2</w:t>
      </w:r>
      <w:r w:rsidRPr="002A6534">
        <w:rPr>
          <w:rFonts w:eastAsia="Times New Roman"/>
          <w:sz w:val="20"/>
          <w:szCs w:val="20"/>
          <w:bdr w:val="single" w:sz="2" w:space="0" w:color="E5E7EB" w:frame="1"/>
          <w:lang w:eastAsia="uk-UA"/>
        </w:rPr>
        <w:t>2</w:t>
      </w:r>
      <w:r w:rsidRPr="002A6534">
        <w:rPr>
          <w:rFonts w:eastAsia="Times New Roman"/>
          <w:sz w:val="2"/>
          <w:szCs w:val="2"/>
          <w:bdr w:val="single" w:sz="2" w:space="0" w:color="E5E7EB" w:frame="1"/>
          <w:lang w:eastAsia="uk-UA"/>
        </w:rPr>
        <w:t>​</w:t>
      </w:r>
      <w:r w:rsidRPr="002A6534">
        <w:rPr>
          <w:rFonts w:ascii="Segoe UI" w:eastAsia="Times New Roman" w:hAnsi="Segoe UI" w:cs="Segoe UI"/>
          <w:lang w:eastAsia="uk-UA"/>
        </w:rPr>
        <w:t>, CO</w:t>
      </w:r>
      <w:r w:rsidRPr="002A6534">
        <w:rPr>
          <w:rFonts w:eastAsia="Times New Roman"/>
          <w:sz w:val="29"/>
          <w:szCs w:val="29"/>
          <w:bdr w:val="none" w:sz="0" w:space="0" w:color="auto" w:frame="1"/>
          <w:lang w:eastAsia="uk-UA"/>
        </w:rPr>
        <w:t>2</w:t>
      </w:r>
      <w:r w:rsidRPr="002A6534">
        <w:rPr>
          <w:rFonts w:eastAsia="Times New Roman"/>
          <w:sz w:val="20"/>
          <w:szCs w:val="20"/>
          <w:bdr w:val="single" w:sz="2" w:space="0" w:color="E5E7EB" w:frame="1"/>
          <w:lang w:eastAsia="uk-UA"/>
        </w:rPr>
        <w:t>2</w:t>
      </w:r>
      <w:r w:rsidRPr="002A6534">
        <w:rPr>
          <w:rFonts w:eastAsia="Times New Roman"/>
          <w:sz w:val="2"/>
          <w:szCs w:val="2"/>
          <w:bdr w:val="single" w:sz="2" w:space="0" w:color="E5E7EB" w:frame="1"/>
          <w:lang w:eastAsia="uk-UA"/>
        </w:rPr>
        <w:t>​</w:t>
      </w:r>
      <w:r w:rsidRPr="002A6534">
        <w:rPr>
          <w:rFonts w:ascii="Segoe UI" w:eastAsia="Times New Roman" w:hAnsi="Segoe UI" w:cs="Segoe UI"/>
          <w:lang w:eastAsia="uk-UA"/>
        </w:rPr>
        <w:t>, температура, вологість, запиленість</w:t>
      </w:r>
    </w:p>
    <w:p w:rsidR="002A6534" w:rsidRPr="002A6534" w:rsidRDefault="002A6534" w:rsidP="002A6534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Аварійне перемикання/ручні приводи</w:t>
      </w:r>
    </w:p>
    <w:p w:rsidR="002A6534" w:rsidRPr="002A6534" w:rsidRDefault="002A6534" w:rsidP="002A6534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proofErr w:type="spellStart"/>
      <w:r w:rsidRPr="002A6534">
        <w:rPr>
          <w:rFonts w:ascii="Segoe UI" w:eastAsia="Times New Roman" w:hAnsi="Segoe UI" w:cs="Segoe UI"/>
          <w:lang w:eastAsia="uk-UA"/>
        </w:rPr>
        <w:t>Перевіркахідників</w:t>
      </w:r>
      <w:proofErr w:type="spellEnd"/>
      <w:r w:rsidRPr="002A6534">
        <w:rPr>
          <w:rFonts w:ascii="Segoe UI" w:eastAsia="Times New Roman" w:hAnsi="Segoe UI" w:cs="Segoe UI"/>
          <w:lang w:eastAsia="uk-UA"/>
        </w:rPr>
        <w:t>/маршрутів евакуації</w:t>
      </w:r>
    </w:p>
    <w:p w:rsidR="002A6534" w:rsidRPr="002A6534" w:rsidRDefault="002A6534" w:rsidP="002A6534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lang w:eastAsia="uk-UA"/>
        </w:rPr>
        <w:t>Активне тренування з персоналом (інструктаж)</w:t>
      </w:r>
    </w:p>
    <w:p w:rsidR="002A6534" w:rsidRPr="002A6534" w:rsidRDefault="002A6534" w:rsidP="002A6534">
      <w:pPr>
        <w:spacing w:before="360" w:after="360" w:line="240" w:lineRule="auto"/>
        <w:rPr>
          <w:rFonts w:eastAsia="Times New Roman"/>
          <w:lang w:eastAsia="uk-UA"/>
        </w:rPr>
      </w:pPr>
      <w:r w:rsidRPr="002A6534">
        <w:rPr>
          <w:rFonts w:eastAsia="Times New Roman"/>
          <w:lang w:eastAsia="uk-UA"/>
        </w:rPr>
        <w:pict>
          <v:rect id="_x0000_i1033" style="width:0;height:3pt" o:hralign="center" o:hrstd="t" o:hr="t" fillcolor="#a0a0a0" stroked="f"/>
        </w:pict>
      </w:r>
    </w:p>
    <w:p w:rsidR="002A6534" w:rsidRPr="002A6534" w:rsidRDefault="002A6534" w:rsidP="002A653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2A6534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9. Уніфікований зразок Акту (скорочено, для додатку):</w:t>
      </w:r>
    </w:p>
    <w:p w:rsidR="002A6534" w:rsidRPr="002A6534" w:rsidRDefault="002A6534" w:rsidP="002A653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Дата, місце, склад комісії</w:t>
      </w:r>
    </w:p>
    <w:p w:rsidR="002A6534" w:rsidRPr="002A6534" w:rsidRDefault="002A6534" w:rsidP="002A653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Коротка характеристика об'єкта</w:t>
      </w:r>
    </w:p>
    <w:p w:rsidR="002A6534" w:rsidRPr="002A6534" w:rsidRDefault="002A6534" w:rsidP="002A653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Документація — наявність, дата оновлення</w:t>
      </w:r>
    </w:p>
    <w:p w:rsidR="002A6534" w:rsidRPr="002A6534" w:rsidRDefault="002A6534" w:rsidP="002A653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Опис стану основних конструкцій</w:t>
      </w:r>
    </w:p>
    <w:p w:rsidR="002A6534" w:rsidRPr="002A6534" w:rsidRDefault="002A6534" w:rsidP="002A653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Опис стану і роботи інженерних систем</w:t>
      </w:r>
    </w:p>
    <w:p w:rsidR="002A6534" w:rsidRPr="002A6534" w:rsidRDefault="002A6534" w:rsidP="002A653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Результати замірів у таблиці:— O</w:t>
      </w:r>
      <w:r w:rsidRPr="002A6534">
        <w:rPr>
          <w:rFonts w:eastAsia="Times New Roman"/>
          <w:i/>
          <w:iCs/>
          <w:sz w:val="29"/>
          <w:szCs w:val="29"/>
          <w:bdr w:val="none" w:sz="0" w:space="0" w:color="auto" w:frame="1"/>
          <w:lang w:eastAsia="uk-UA"/>
        </w:rPr>
        <w:t>2</w:t>
      </w:r>
      <w:r w:rsidRPr="002A6534">
        <w:rPr>
          <w:rFonts w:eastAsia="Times New Roman"/>
          <w:i/>
          <w:iCs/>
          <w:sz w:val="20"/>
          <w:szCs w:val="20"/>
          <w:bdr w:val="single" w:sz="2" w:space="0" w:color="E5E7EB" w:frame="1"/>
          <w:lang w:eastAsia="uk-UA"/>
        </w:rPr>
        <w:t>2</w:t>
      </w:r>
      <w:r w:rsidRPr="002A6534">
        <w:rPr>
          <w:rFonts w:eastAsia="Times New Roman"/>
          <w:i/>
          <w:iCs/>
          <w:sz w:val="2"/>
          <w:szCs w:val="2"/>
          <w:bdr w:val="single" w:sz="2" w:space="0" w:color="E5E7EB" w:frame="1"/>
          <w:lang w:eastAsia="uk-UA"/>
        </w:rPr>
        <w:t>​</w:t>
      </w:r>
      <w:r w:rsidRPr="002A6534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, CO</w:t>
      </w:r>
      <w:r w:rsidRPr="002A6534">
        <w:rPr>
          <w:rFonts w:eastAsia="Times New Roman"/>
          <w:i/>
          <w:iCs/>
          <w:sz w:val="29"/>
          <w:szCs w:val="29"/>
          <w:bdr w:val="none" w:sz="0" w:space="0" w:color="auto" w:frame="1"/>
          <w:lang w:eastAsia="uk-UA"/>
        </w:rPr>
        <w:t>2</w:t>
      </w:r>
      <w:r w:rsidRPr="002A6534">
        <w:rPr>
          <w:rFonts w:eastAsia="Times New Roman"/>
          <w:i/>
          <w:iCs/>
          <w:sz w:val="20"/>
          <w:szCs w:val="20"/>
          <w:bdr w:val="single" w:sz="2" w:space="0" w:color="E5E7EB" w:frame="1"/>
          <w:lang w:eastAsia="uk-UA"/>
        </w:rPr>
        <w:t>2</w:t>
      </w:r>
      <w:r w:rsidRPr="002A6534">
        <w:rPr>
          <w:rFonts w:eastAsia="Times New Roman"/>
          <w:i/>
          <w:iCs/>
          <w:sz w:val="2"/>
          <w:szCs w:val="2"/>
          <w:bdr w:val="single" w:sz="2" w:space="0" w:color="E5E7EB" w:frame="1"/>
          <w:lang w:eastAsia="uk-UA"/>
        </w:rPr>
        <w:t>​</w:t>
      </w:r>
      <w:r w:rsidRPr="002A6534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, T, RH, пил — у кожній точці</w:t>
      </w:r>
    </w:p>
    <w:p w:rsidR="002A6534" w:rsidRPr="002A6534" w:rsidRDefault="002A6534" w:rsidP="002A653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Тестові режими (основний, резервний, аварійний): +/– по кожному</w:t>
      </w:r>
    </w:p>
    <w:p w:rsidR="002A6534" w:rsidRPr="002A6534" w:rsidRDefault="002A6534" w:rsidP="002A653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Стан побутових приміщень і запасу матеріалів</w:t>
      </w:r>
    </w:p>
    <w:p w:rsidR="002A6534" w:rsidRPr="002A6534" w:rsidRDefault="002A6534" w:rsidP="002A653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Обмеження для експлуатації, недоліки, строки для усунення</w:t>
      </w:r>
    </w:p>
    <w:p w:rsidR="002A6534" w:rsidRPr="002A6534" w:rsidRDefault="002A6534" w:rsidP="002A653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2A6534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Підпис голови комісії й усіх членів</w:t>
      </w:r>
    </w:p>
    <w:p w:rsidR="009C4217" w:rsidRDefault="009C4217">
      <w:bookmarkStart w:id="0" w:name="_GoBack"/>
      <w:bookmarkEnd w:id="0"/>
    </w:p>
    <w:sectPr w:rsidR="009C421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aTeX_Mat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3266"/>
    <w:multiLevelType w:val="multilevel"/>
    <w:tmpl w:val="67C6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F02FC"/>
    <w:multiLevelType w:val="multilevel"/>
    <w:tmpl w:val="4180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1404A3"/>
    <w:multiLevelType w:val="multilevel"/>
    <w:tmpl w:val="0ACC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A3D49"/>
    <w:multiLevelType w:val="multilevel"/>
    <w:tmpl w:val="C8DC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65976"/>
    <w:multiLevelType w:val="multilevel"/>
    <w:tmpl w:val="8D02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D671A"/>
    <w:multiLevelType w:val="multilevel"/>
    <w:tmpl w:val="1FC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1852C6"/>
    <w:multiLevelType w:val="multilevel"/>
    <w:tmpl w:val="89AA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A22EFF"/>
    <w:multiLevelType w:val="multilevel"/>
    <w:tmpl w:val="4D82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058C4"/>
    <w:multiLevelType w:val="multilevel"/>
    <w:tmpl w:val="3FC8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4098A"/>
    <w:multiLevelType w:val="multilevel"/>
    <w:tmpl w:val="4554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105E90"/>
    <w:multiLevelType w:val="multilevel"/>
    <w:tmpl w:val="E590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34"/>
    <w:rsid w:val="002A6534"/>
    <w:rsid w:val="008B2DB3"/>
    <w:rsid w:val="009C4217"/>
    <w:rsid w:val="00B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47CA1-9833-459C-9DC3-903F7395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4031</Words>
  <Characters>2299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2025-06-20T18:47:00Z</dcterms:created>
  <dcterms:modified xsi:type="dcterms:W3CDTF">2025-06-20T18:53:00Z</dcterms:modified>
</cp:coreProperties>
</file>